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7D544600"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F05774">
        <w:rPr>
          <w:b/>
          <w:noProof/>
          <w:sz w:val="24"/>
        </w:rPr>
        <w:t>9</w:t>
      </w:r>
      <w:r w:rsidR="00267F80">
        <w:rPr>
          <w:b/>
          <w:noProof/>
          <w:sz w:val="24"/>
        </w:rPr>
        <w:t>7</w:t>
      </w:r>
      <w:r w:rsidR="00F05774">
        <w:rPr>
          <w:b/>
          <w:noProof/>
          <w:sz w:val="24"/>
        </w:rPr>
        <w:t>e</w:t>
      </w:r>
      <w:r w:rsidR="00034B06">
        <w:rPr>
          <w:b/>
          <w:i/>
          <w:noProof/>
          <w:sz w:val="28"/>
        </w:rPr>
        <w:tab/>
      </w:r>
      <w:r w:rsidR="00E22E36" w:rsidRPr="00E22E36">
        <w:rPr>
          <w:b/>
          <w:noProof/>
          <w:sz w:val="24"/>
        </w:rPr>
        <w:t>R4-20</w:t>
      </w:r>
      <w:r w:rsidR="00786D5A">
        <w:rPr>
          <w:b/>
          <w:noProof/>
          <w:sz w:val="24"/>
        </w:rPr>
        <w:t>1</w:t>
      </w:r>
      <w:r w:rsidR="00267F80">
        <w:rPr>
          <w:b/>
          <w:noProof/>
          <w:sz w:val="24"/>
        </w:rPr>
        <w:t>423</w:t>
      </w:r>
      <w:r w:rsidR="00E71B79">
        <w:rPr>
          <w:b/>
          <w:noProof/>
          <w:sz w:val="24"/>
        </w:rPr>
        <w:t>3</w:t>
      </w:r>
    </w:p>
    <w:p w14:paraId="39427C9B" w14:textId="5B68B3C0" w:rsidR="00C22ED1" w:rsidRDefault="00F46F89" w:rsidP="00F05774">
      <w:pPr>
        <w:pStyle w:val="CRCoverPage"/>
        <w:outlineLvl w:val="0"/>
        <w:rPr>
          <w:b/>
          <w:noProof/>
          <w:sz w:val="24"/>
        </w:rPr>
      </w:pPr>
      <w:fldSimple w:instr=" DOCPROPERTY  Location  \* MERGEFORMAT ">
        <w:r w:rsidR="00C22ED1" w:rsidRPr="00BA51D9">
          <w:rPr>
            <w:b/>
            <w:noProof/>
            <w:sz w:val="24"/>
          </w:rPr>
          <w:t>Online</w:t>
        </w:r>
      </w:fldSimple>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267F80">
          <w:rPr>
            <w:b/>
            <w:noProof/>
            <w:sz w:val="24"/>
          </w:rPr>
          <w:t>Nov.</w:t>
        </w:r>
        <w:r w:rsidR="00F05774">
          <w:rPr>
            <w:b/>
            <w:noProof/>
            <w:sz w:val="24"/>
          </w:rPr>
          <w:t xml:space="preserve"> </w:t>
        </w:r>
        <w:r w:rsidR="00267F80">
          <w:rPr>
            <w:b/>
            <w:noProof/>
            <w:sz w:val="24"/>
          </w:rPr>
          <w:t>02</w:t>
        </w:r>
        <w:r w:rsidR="00786D5A">
          <w:rPr>
            <w:b/>
            <w:noProof/>
            <w:sz w:val="24"/>
          </w:rPr>
          <w:t>-</w:t>
        </w:r>
        <w:r w:rsidR="00267F80">
          <w:rPr>
            <w:b/>
            <w:noProof/>
            <w:sz w:val="24"/>
          </w:rPr>
          <w:t>13</w:t>
        </w:r>
        <w:r w:rsidR="00786D5A">
          <w:rPr>
            <w:b/>
            <w:noProof/>
            <w:sz w:val="24"/>
          </w:rPr>
          <w:t>,</w:t>
        </w:r>
        <w:r w:rsidR="00C22ED1" w:rsidRPr="00BA51D9">
          <w:rPr>
            <w:b/>
            <w:noProof/>
            <w:sz w:val="24"/>
          </w:rPr>
          <w:t xml:space="preserve"> 2020</w:t>
        </w:r>
      </w:fldSimple>
    </w:p>
    <w:p w14:paraId="039456C7" w14:textId="6CD1C75D"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7F80" w:rsidRPr="00267F80">
        <w:rPr>
          <w:rFonts w:ascii="Arial" w:hAnsi="Arial" w:cs="Arial"/>
          <w:b/>
          <w:sz w:val="22"/>
          <w:szCs w:val="22"/>
          <w:lang w:val="en-US"/>
        </w:rPr>
        <w:t>12.3.2.1.2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6F9300A"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On the feasibility of IBM for FR2 inter-band CA within the same frequency group</w:t>
      </w:r>
    </w:p>
    <w:p w14:paraId="079A707A" w14:textId="61034B6B"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543AD3">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31143" w14:textId="56714274" w:rsidR="005F0EDB" w:rsidRDefault="00826563" w:rsidP="005D3144">
      <w:pPr>
        <w:jc w:val="both"/>
        <w:rPr>
          <w:lang w:val="en-US" w:eastAsia="zh-CN"/>
        </w:rPr>
      </w:pPr>
      <w:r>
        <w:rPr>
          <w:lang w:val="en-US" w:eastAsia="zh-CN"/>
        </w:rPr>
        <w:t>In RAN</w:t>
      </w:r>
      <w:r w:rsidR="005F0EDB">
        <w:rPr>
          <w:lang w:val="en-US" w:eastAsia="zh-CN"/>
        </w:rPr>
        <w:t>#</w:t>
      </w:r>
      <w:r w:rsidR="00F64321">
        <w:rPr>
          <w:lang w:val="en-US" w:eastAsia="zh-CN"/>
        </w:rPr>
        <w:t>89e</w:t>
      </w:r>
      <w:r w:rsidR="005F0EDB">
        <w:rPr>
          <w:lang w:val="en-US" w:eastAsia="zh-CN"/>
        </w:rPr>
        <w:t xml:space="preserve">, FR2 RF enhancement WI, RP-202107, was approved. On DL inter-band CA related scope, the following objectives have been included. </w:t>
      </w:r>
    </w:p>
    <w:p w14:paraId="4FBA78DF" w14:textId="77777777" w:rsidR="005F0EDB" w:rsidRDefault="005F0EDB" w:rsidP="005F0EDB">
      <w:pPr>
        <w:pStyle w:val="tah0"/>
        <w:numPr>
          <w:ilvl w:val="0"/>
          <w:numId w:val="40"/>
        </w:numPr>
        <w:spacing w:before="100" w:beforeAutospacing="1" w:after="100" w:afterAutospacing="1"/>
        <w:rPr>
          <w:rFonts w:ascii="Times New Roman" w:hAnsi="Times New Roman" w:cs="Times New Roman"/>
          <w:sz w:val="20"/>
          <w:szCs w:val="20"/>
        </w:rPr>
      </w:pPr>
      <w:r w:rsidRPr="0077742D">
        <w:rPr>
          <w:rFonts w:ascii="Times New Roman" w:hAnsi="Times New Roman" w:cs="Times New Roman"/>
          <w:sz w:val="20"/>
          <w:szCs w:val="20"/>
        </w:rPr>
        <w:t>Inter-band DL CA enhancements</w:t>
      </w:r>
      <w:r>
        <w:rPr>
          <w:rFonts w:ascii="Times New Roman" w:hAnsi="Times New Roman" w:cs="Times New Roman"/>
          <w:sz w:val="20"/>
          <w:szCs w:val="20"/>
        </w:rPr>
        <w:t xml:space="preserve"> [RAN4 RF/RRM]</w:t>
      </w:r>
    </w:p>
    <w:p w14:paraId="3FBBECD0" w14:textId="77777777" w:rsidR="005F0EDB" w:rsidRPr="001A59B9"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2778AD53" w14:textId="77777777" w:rsidR="005F0EDB" w:rsidRPr="001A59B9"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define UE requirements </w:t>
      </w:r>
      <w:r>
        <w:rPr>
          <w:sz w:val="20"/>
          <w:szCs w:val="20"/>
        </w:rPr>
        <w:t>for CBM</w:t>
      </w:r>
      <w:r w:rsidRPr="001A59B9">
        <w:rPr>
          <w:sz w:val="20"/>
          <w:szCs w:val="20"/>
        </w:rPr>
        <w:t xml:space="preserve"> between different freq. groups (e.g. 28GHz + 37GHz).</w:t>
      </w:r>
    </w:p>
    <w:p w14:paraId="5B9E00BF"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Define requirements for CA_n258A-n260A and CA_n257A-n259A based on IBM (Note these CA configurations will be moved to Basket WI in RAN#90</w:t>
      </w:r>
      <w:r>
        <w:rPr>
          <w:sz w:val="20"/>
          <w:szCs w:val="20"/>
        </w:rPr>
        <w:t xml:space="preserve"> and more combinations may be added to Basket WI later</w:t>
      </w:r>
      <w:r w:rsidRPr="001A59B9">
        <w:rPr>
          <w:sz w:val="20"/>
          <w:szCs w:val="20"/>
        </w:rPr>
        <w:t>).</w:t>
      </w:r>
    </w:p>
    <w:p w14:paraId="578F970C" w14:textId="77777777" w:rsidR="005F0EDB" w:rsidRPr="00D22D60"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B3588E">
        <w:rPr>
          <w:sz w:val="20"/>
          <w:szCs w:val="20"/>
        </w:rPr>
        <w:t>Define UE requirements for inter-band CA within the same freq. group (e.g. 28GHz + 28GHz) for common beam management (CBM) based on requested band combinations</w:t>
      </w:r>
      <w:r>
        <w:rPr>
          <w:sz w:val="20"/>
          <w:szCs w:val="20"/>
        </w:rPr>
        <w:t>.</w:t>
      </w:r>
      <w:r w:rsidRPr="00F633E7">
        <w:rPr>
          <w:sz w:val="20"/>
          <w:szCs w:val="20"/>
        </w:rPr>
        <w:t xml:space="preserve"> </w:t>
      </w:r>
      <w:r>
        <w:rPr>
          <w:sz w:val="20"/>
          <w:szCs w:val="20"/>
        </w:rPr>
        <w:t xml:space="preserve">Evaluate performance impact based on </w:t>
      </w:r>
      <w:r w:rsidRPr="00260BC6">
        <w:rPr>
          <w:sz w:val="20"/>
          <w:szCs w:val="20"/>
        </w:rPr>
        <w:t xml:space="preserve">deployment conditions and design constraints, including </w:t>
      </w:r>
      <w:r>
        <w:rPr>
          <w:sz w:val="20"/>
          <w:szCs w:val="20"/>
        </w:rPr>
        <w:t>outcome of MRTD requirement if any.</w:t>
      </w:r>
    </w:p>
    <w:p w14:paraId="3AA28445"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w:t>
      </w:r>
      <w:r>
        <w:rPr>
          <w:sz w:val="20"/>
          <w:szCs w:val="20"/>
        </w:rPr>
        <w:t>d</w:t>
      </w:r>
      <w:r w:rsidRPr="001A59B9">
        <w:rPr>
          <w:sz w:val="20"/>
          <w:szCs w:val="20"/>
        </w:rPr>
        <w:t>efine UE RF requirements for inter-band CA within the same freq. group (e.g. 28GHz + 28GHz)</w:t>
      </w:r>
      <w:r w:rsidRPr="001A59B9" w:rsidDel="00620CF4">
        <w:rPr>
          <w:sz w:val="20"/>
          <w:szCs w:val="20"/>
        </w:rPr>
        <w:t xml:space="preserve"> </w:t>
      </w:r>
      <w:r w:rsidRPr="001A59B9">
        <w:rPr>
          <w:sz w:val="20"/>
          <w:szCs w:val="20"/>
        </w:rPr>
        <w:t>for (IBM) based on explicitly requested band combinations.</w:t>
      </w:r>
    </w:p>
    <w:p w14:paraId="07B92DE7" w14:textId="77777777" w:rsidR="005F0EDB" w:rsidRP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5F0EDB">
        <w:rPr>
          <w:sz w:val="20"/>
          <w:szCs w:val="20"/>
        </w:rPr>
        <w:t xml:space="preserve">Both RF and RRM requirement aspects are in scope for DL </w:t>
      </w:r>
      <w:proofErr w:type="spellStart"/>
      <w:r w:rsidRPr="005F0EDB">
        <w:rPr>
          <w:sz w:val="20"/>
          <w:szCs w:val="20"/>
        </w:rPr>
        <w:t>interband</w:t>
      </w:r>
      <w:proofErr w:type="spellEnd"/>
      <w:r w:rsidRPr="005F0EDB">
        <w:rPr>
          <w:sz w:val="20"/>
          <w:szCs w:val="20"/>
        </w:rPr>
        <w:t xml:space="preserve"> CA.</w:t>
      </w:r>
    </w:p>
    <w:p w14:paraId="653C273F" w14:textId="0EB83A57" w:rsidR="005F0EDB" w:rsidRDefault="005F0EDB" w:rsidP="005D3144">
      <w:pPr>
        <w:jc w:val="both"/>
        <w:rPr>
          <w:lang w:val="x-none" w:eastAsia="zh-CN"/>
        </w:rPr>
      </w:pPr>
    </w:p>
    <w:p w14:paraId="4CA2E03D" w14:textId="682D41CA" w:rsidR="005F0EDB" w:rsidRPr="005F0EDB" w:rsidRDefault="005F0EDB" w:rsidP="005D3144">
      <w:pPr>
        <w:jc w:val="both"/>
        <w:rPr>
          <w:lang w:val="en-US" w:eastAsia="zh-CN"/>
        </w:rPr>
      </w:pPr>
      <w:r>
        <w:rPr>
          <w:lang w:val="en-US" w:eastAsia="zh-CN"/>
        </w:rPr>
        <w:t xml:space="preserve">Study phase is required for some of the objectives, including </w:t>
      </w:r>
    </w:p>
    <w:p w14:paraId="186AD401" w14:textId="103852D6"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define UE requirements </w:t>
      </w:r>
      <w:r>
        <w:rPr>
          <w:sz w:val="20"/>
          <w:szCs w:val="20"/>
        </w:rPr>
        <w:t>for CBM</w:t>
      </w:r>
      <w:r w:rsidRPr="001A59B9">
        <w:rPr>
          <w:sz w:val="20"/>
          <w:szCs w:val="20"/>
        </w:rPr>
        <w:t xml:space="preserve"> between different freq. groups (e.g. 28GHz + 37GHz).</w:t>
      </w:r>
    </w:p>
    <w:p w14:paraId="20F6EAE3"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w:t>
      </w:r>
      <w:r>
        <w:rPr>
          <w:sz w:val="20"/>
          <w:szCs w:val="20"/>
        </w:rPr>
        <w:t>d</w:t>
      </w:r>
      <w:r w:rsidRPr="001A59B9">
        <w:rPr>
          <w:sz w:val="20"/>
          <w:szCs w:val="20"/>
        </w:rPr>
        <w:t>efine UE RF requirements for inter-band CA within the same freq. group (e.g. 28GHz + 28GHz)</w:t>
      </w:r>
      <w:r w:rsidRPr="001A59B9" w:rsidDel="00620CF4">
        <w:rPr>
          <w:sz w:val="20"/>
          <w:szCs w:val="20"/>
        </w:rPr>
        <w:t xml:space="preserve"> </w:t>
      </w:r>
      <w:r w:rsidRPr="001A59B9">
        <w:rPr>
          <w:sz w:val="20"/>
          <w:szCs w:val="20"/>
        </w:rPr>
        <w:t>for (IBM) based on explicitly requested band combinations.</w:t>
      </w:r>
    </w:p>
    <w:p w14:paraId="2CB6C6F1" w14:textId="77777777" w:rsidR="005F0EDB" w:rsidRDefault="005F0EDB" w:rsidP="00712CC1">
      <w:pPr>
        <w:jc w:val="both"/>
        <w:rPr>
          <w:lang w:eastAsia="zh-CN"/>
        </w:rPr>
      </w:pPr>
    </w:p>
    <w:p w14:paraId="3B47FAC0" w14:textId="639DCE3F" w:rsidR="00786D5A" w:rsidRDefault="00786D5A" w:rsidP="00712CC1">
      <w:pPr>
        <w:jc w:val="both"/>
        <w:rPr>
          <w:lang w:val="en-US" w:eastAsia="zh-CN"/>
        </w:rPr>
      </w:pPr>
      <w:r>
        <w:rPr>
          <w:lang w:eastAsia="zh-CN"/>
        </w:rPr>
        <w:t>In this contribution,</w:t>
      </w:r>
      <w:r w:rsidR="005F0EDB">
        <w:rPr>
          <w:lang w:eastAsia="zh-CN"/>
        </w:rPr>
        <w:t xml:space="preserve"> the feasibility of </w:t>
      </w:r>
      <w:r w:rsidR="005F0EDB" w:rsidRPr="001A59B9">
        <w:t>inter-band CA within the same freq. group (e.g. 28GHz + 28GHz)</w:t>
      </w:r>
      <w:r w:rsidR="005F0EDB" w:rsidRPr="001A59B9" w:rsidDel="00620CF4">
        <w:t xml:space="preserve"> </w:t>
      </w:r>
      <w:r w:rsidR="005F0EDB" w:rsidRPr="001A59B9">
        <w:t>for IBM</w:t>
      </w:r>
      <w:r w:rsidR="005F0EDB">
        <w:t>.</w:t>
      </w:r>
    </w:p>
    <w:p w14:paraId="06C92962" w14:textId="04FDED40" w:rsidR="00712CC1" w:rsidRDefault="00A94FBD" w:rsidP="00712CC1">
      <w:pPr>
        <w:pStyle w:val="Heading1"/>
        <w:numPr>
          <w:ilvl w:val="0"/>
          <w:numId w:val="10"/>
        </w:numPr>
        <w:pBdr>
          <w:top w:val="single" w:sz="12" w:space="2" w:color="auto"/>
        </w:pBdr>
        <w:jc w:val="both"/>
        <w:rPr>
          <w:sz w:val="32"/>
        </w:rPr>
      </w:pPr>
      <w:r>
        <w:rPr>
          <w:sz w:val="32"/>
        </w:rPr>
        <w:t xml:space="preserve">Performance gain of </w:t>
      </w:r>
      <w:r w:rsidR="005F0EDB">
        <w:rPr>
          <w:sz w:val="32"/>
        </w:rPr>
        <w:t xml:space="preserve">IBM </w:t>
      </w:r>
      <w:r>
        <w:rPr>
          <w:sz w:val="32"/>
        </w:rPr>
        <w:t xml:space="preserve">over </w:t>
      </w:r>
      <w:r w:rsidR="005F0EDB">
        <w:rPr>
          <w:sz w:val="32"/>
        </w:rPr>
        <w:t>CBM for inter-band CA within the same frequency group</w:t>
      </w:r>
    </w:p>
    <w:p w14:paraId="5DCD0E71" w14:textId="099A4EDB" w:rsidR="005F0EDB" w:rsidRPr="005F0EDB" w:rsidRDefault="005F0EDB" w:rsidP="005F0EDB">
      <w:pPr>
        <w:pStyle w:val="ListParagraph"/>
        <w:numPr>
          <w:ilvl w:val="0"/>
          <w:numId w:val="41"/>
        </w:numPr>
        <w:ind w:firstLineChars="0"/>
        <w:rPr>
          <w:lang w:eastAsia="zh-CN"/>
        </w:rPr>
      </w:pPr>
      <w:r>
        <w:rPr>
          <w:lang w:val="en-US" w:eastAsia="zh-CN"/>
        </w:rPr>
        <w:t>Deployment Scenario</w:t>
      </w:r>
    </w:p>
    <w:p w14:paraId="1A043265" w14:textId="19D614A6" w:rsidR="005F0EDB" w:rsidRDefault="005F0EDB" w:rsidP="005F0EDB">
      <w:pPr>
        <w:rPr>
          <w:lang w:eastAsia="zh-CN"/>
        </w:rPr>
      </w:pPr>
      <w:r>
        <w:rPr>
          <w:lang w:eastAsia="zh-CN"/>
        </w:rPr>
        <w:t xml:space="preserve">For FR2 inter-band CA, there are generally two deployment scenarios considered, i.e. collocated scenario and non-collocated scenario. Non-collocated scenario is typically </w:t>
      </w:r>
      <w:r w:rsidR="00C2306B">
        <w:rPr>
          <w:lang w:eastAsia="zh-CN"/>
        </w:rPr>
        <w:t>assumed when the coverages between aggregated bands are significantly imbalanced. With non-collocated deployment, the ISD of cells of different bands can be independently and flexibly configured. However, non-collocated deployment typically requires more cell sites/towers to place the base stations. The related deployment efforts and costs can be significant.</w:t>
      </w:r>
    </w:p>
    <w:p w14:paraId="7FCFCF7E" w14:textId="05105675" w:rsidR="005F0EDB" w:rsidRDefault="00C2306B" w:rsidP="005F0EDB">
      <w:pPr>
        <w:rPr>
          <w:lang w:eastAsia="zh-CN"/>
        </w:rPr>
      </w:pPr>
      <w:r>
        <w:rPr>
          <w:lang w:eastAsia="zh-CN"/>
        </w:rPr>
        <w:t>The cell size or coverage are similar for the band within the same frequency group. Therefore, it is questionable on the non-collocated deployment for FR2 inter-band CA within the same frequency group.</w:t>
      </w:r>
    </w:p>
    <w:p w14:paraId="24367F8F" w14:textId="77777777" w:rsidR="00A94FBD" w:rsidRDefault="00C2306B" w:rsidP="00C2306B">
      <w:pPr>
        <w:rPr>
          <w:b/>
          <w:bCs/>
          <w:lang w:eastAsia="zh-CN"/>
        </w:rPr>
      </w:pPr>
      <w:r w:rsidRPr="00C2306B">
        <w:rPr>
          <w:b/>
          <w:bCs/>
          <w:lang w:eastAsia="zh-CN"/>
        </w:rPr>
        <w:t>Observation 1: The cell size or coverage are similar for the band</w:t>
      </w:r>
      <w:r>
        <w:rPr>
          <w:b/>
          <w:bCs/>
          <w:lang w:eastAsia="zh-CN"/>
        </w:rPr>
        <w:t>s</w:t>
      </w:r>
      <w:r w:rsidRPr="00C2306B">
        <w:rPr>
          <w:b/>
          <w:bCs/>
          <w:lang w:eastAsia="zh-CN"/>
        </w:rPr>
        <w:t xml:space="preserve"> within the same frequency group. </w:t>
      </w:r>
    </w:p>
    <w:p w14:paraId="00B4D69B" w14:textId="1C835ABD" w:rsidR="00C2306B" w:rsidRPr="00C2306B" w:rsidRDefault="00A94FBD" w:rsidP="00C2306B">
      <w:pPr>
        <w:rPr>
          <w:b/>
          <w:bCs/>
          <w:lang w:eastAsia="zh-CN"/>
        </w:rPr>
      </w:pPr>
      <w:r>
        <w:rPr>
          <w:b/>
          <w:bCs/>
          <w:lang w:eastAsia="zh-CN"/>
        </w:rPr>
        <w:lastRenderedPageBreak/>
        <w:t xml:space="preserve">Proposal 1: </w:t>
      </w:r>
      <w:r w:rsidR="00C2306B" w:rsidRPr="00C2306B">
        <w:rPr>
          <w:b/>
          <w:bCs/>
          <w:lang w:eastAsia="zh-CN"/>
        </w:rPr>
        <w:t>Operators’ inputs are needed if collocated deployment can be considered as typical scenario for FR2 inter-band CA within the same frequency group.</w:t>
      </w:r>
    </w:p>
    <w:p w14:paraId="11DA2224" w14:textId="56BB38C4" w:rsidR="00C2306B" w:rsidRPr="005F0EDB" w:rsidRDefault="00C2306B" w:rsidP="00C2306B">
      <w:pPr>
        <w:pStyle w:val="ListParagraph"/>
        <w:numPr>
          <w:ilvl w:val="0"/>
          <w:numId w:val="41"/>
        </w:numPr>
        <w:ind w:firstLineChars="0"/>
        <w:rPr>
          <w:lang w:eastAsia="zh-CN"/>
        </w:rPr>
      </w:pPr>
      <w:r>
        <w:rPr>
          <w:lang w:val="en-US" w:eastAsia="zh-CN"/>
        </w:rPr>
        <w:t>Performance difference between IBM and CBM</w:t>
      </w:r>
      <w:r w:rsidR="00FE4EDB">
        <w:rPr>
          <w:lang w:val="en-US" w:eastAsia="zh-CN"/>
        </w:rPr>
        <w:t xml:space="preserve"> with collocated deployment</w:t>
      </w:r>
    </w:p>
    <w:p w14:paraId="4FF66233" w14:textId="7978B558" w:rsidR="00A033FB" w:rsidRDefault="00A033FB" w:rsidP="005F0EDB">
      <w:pPr>
        <w:rPr>
          <w:lang w:val="en-US" w:eastAsia="zh-CN"/>
        </w:rPr>
      </w:pPr>
      <w:r>
        <w:rPr>
          <w:lang w:val="en-US" w:eastAsia="zh-CN"/>
        </w:rPr>
        <w:t xml:space="preserve">As part of WI scope, </w:t>
      </w:r>
      <w:r w:rsidRPr="00B3588E">
        <w:t xml:space="preserve">UE requirements for inter-band CA within the same freq. group (e.g. 28GHz + 28GHz) </w:t>
      </w:r>
      <w:r>
        <w:t xml:space="preserve">are to be specified </w:t>
      </w:r>
      <w:r w:rsidRPr="00B3588E">
        <w:t>for common beam management (CBM) based on requested band combinations</w:t>
      </w:r>
      <w:r>
        <w:t>. This implies the corresponding frequency separation can be covered by a single radio transceiver. IBM can only be justified with significant enough gain.</w:t>
      </w:r>
    </w:p>
    <w:p w14:paraId="5ED17389" w14:textId="7296BB5E" w:rsidR="00C2306B" w:rsidRDefault="00FE4EDB" w:rsidP="005F0EDB">
      <w:pPr>
        <w:rPr>
          <w:lang w:val="en-US" w:eastAsia="zh-CN"/>
        </w:rPr>
      </w:pPr>
      <w:r>
        <w:rPr>
          <w:lang w:val="en-US" w:eastAsia="zh-CN"/>
        </w:rPr>
        <w:t xml:space="preserve">One of key differences between IBM and CBM is that per band phase shifter is normally assumed for IBM and common phase shifter is shared between bands for CBM. Phase shifter can be further understood as the beam or codeword </w:t>
      </w:r>
      <w:r w:rsidR="00A033FB">
        <w:rPr>
          <w:lang w:val="en-US" w:eastAsia="zh-CN"/>
        </w:rPr>
        <w:t>selected</w:t>
      </w:r>
      <w:r>
        <w:rPr>
          <w:lang w:val="en-US" w:eastAsia="zh-CN"/>
        </w:rPr>
        <w:t xml:space="preserve"> for DL reception and UL transmission. </w:t>
      </w:r>
    </w:p>
    <w:p w14:paraId="75D7329F" w14:textId="520F3C46" w:rsidR="007D55E9" w:rsidRDefault="00FE4EDB" w:rsidP="005F0EDB">
      <w:pPr>
        <w:rPr>
          <w:lang w:val="en-US" w:eastAsia="zh-CN"/>
        </w:rPr>
      </w:pPr>
      <w:r>
        <w:rPr>
          <w:lang w:val="en-US" w:eastAsia="zh-CN"/>
        </w:rPr>
        <w:t>Based on the beam management and beam correspondence mechanisms specified in 3GPP spec, Rx</w:t>
      </w:r>
      <w:r w:rsidR="002B7A20">
        <w:rPr>
          <w:lang w:val="en-US" w:eastAsia="zh-CN"/>
        </w:rPr>
        <w:t xml:space="preserve"> and Tx</w:t>
      </w:r>
      <w:r>
        <w:rPr>
          <w:lang w:val="en-US" w:eastAsia="zh-CN"/>
        </w:rPr>
        <w:t xml:space="preserve"> beam is selected based </w:t>
      </w:r>
      <w:r w:rsidR="002B7A20">
        <w:rPr>
          <w:lang w:val="en-US" w:eastAsia="zh-CN"/>
        </w:rPr>
        <w:t xml:space="preserve">on Rx beam sweeping, where a codeword in the codebook is identified based on L1-RSRP measurements. It is reasonable to assume that the same codebook will be used for different bands within the same band group. The performance gain of IBM can only be </w:t>
      </w:r>
      <w:r w:rsidR="00CF5A0A">
        <w:rPr>
          <w:lang w:val="en-US" w:eastAsia="zh-CN"/>
        </w:rPr>
        <w:t xml:space="preserve">observed </w:t>
      </w:r>
      <w:r w:rsidR="002B7A20">
        <w:rPr>
          <w:lang w:val="en-US" w:eastAsia="zh-CN"/>
        </w:rPr>
        <w:t xml:space="preserve">if </w:t>
      </w:r>
      <w:r w:rsidR="00F64321">
        <w:rPr>
          <w:lang w:val="en-US" w:eastAsia="zh-CN"/>
        </w:rPr>
        <w:t xml:space="preserve">different </w:t>
      </w:r>
      <w:r w:rsidR="002B7A20">
        <w:rPr>
          <w:lang w:val="en-US" w:eastAsia="zh-CN"/>
        </w:rPr>
        <w:t xml:space="preserve">codewords </w:t>
      </w:r>
      <w:r w:rsidR="00CF5A0A">
        <w:rPr>
          <w:lang w:val="en-US" w:eastAsia="zh-CN"/>
        </w:rPr>
        <w:t>are</w:t>
      </w:r>
      <w:r w:rsidR="002B7A20">
        <w:rPr>
          <w:lang w:val="en-US" w:eastAsia="zh-CN"/>
        </w:rPr>
        <w:t xml:space="preserve"> selected for different band</w:t>
      </w:r>
      <w:r w:rsidR="00CF5A0A">
        <w:rPr>
          <w:lang w:val="en-US" w:eastAsia="zh-CN"/>
        </w:rPr>
        <w:t>s</w:t>
      </w:r>
      <w:r w:rsidR="007D55E9">
        <w:rPr>
          <w:lang w:val="en-US" w:eastAsia="zh-CN"/>
        </w:rPr>
        <w:t xml:space="preserve">. There are several factors which need to </w:t>
      </w:r>
      <w:r w:rsidR="00F64321">
        <w:rPr>
          <w:lang w:val="en-US" w:eastAsia="zh-CN"/>
        </w:rPr>
        <w:t xml:space="preserve">be </w:t>
      </w:r>
      <w:r w:rsidR="007D55E9">
        <w:rPr>
          <w:lang w:val="en-US" w:eastAsia="zh-CN"/>
        </w:rPr>
        <w:t>considered to evaluate the IBM gain over CBM</w:t>
      </w:r>
      <w:r w:rsidR="00CF5A0A">
        <w:rPr>
          <w:lang w:val="en-US" w:eastAsia="zh-CN"/>
        </w:rPr>
        <w:t>, including</w:t>
      </w:r>
    </w:p>
    <w:p w14:paraId="2AE1936D" w14:textId="32BBD6EF" w:rsidR="007D55E9" w:rsidRDefault="007D55E9" w:rsidP="007D55E9">
      <w:pPr>
        <w:pStyle w:val="ListParagraph"/>
        <w:numPr>
          <w:ilvl w:val="0"/>
          <w:numId w:val="42"/>
        </w:numPr>
        <w:ind w:firstLineChars="0"/>
        <w:rPr>
          <w:lang w:val="en-US" w:eastAsia="zh-CN"/>
        </w:rPr>
      </w:pPr>
      <w:r>
        <w:rPr>
          <w:lang w:val="en-US" w:eastAsia="zh-CN"/>
        </w:rPr>
        <w:t>Frequency separation and the corresponding beam squint</w:t>
      </w:r>
    </w:p>
    <w:p w14:paraId="6B31698F" w14:textId="3F06BB54" w:rsidR="007D55E9" w:rsidRDefault="007D55E9" w:rsidP="007D55E9">
      <w:pPr>
        <w:pStyle w:val="ListParagraph"/>
        <w:numPr>
          <w:ilvl w:val="0"/>
          <w:numId w:val="42"/>
        </w:numPr>
        <w:ind w:firstLineChars="0"/>
        <w:rPr>
          <w:lang w:val="en-US" w:eastAsia="zh-CN"/>
        </w:rPr>
      </w:pPr>
      <w:r>
        <w:rPr>
          <w:lang w:val="en-US" w:eastAsia="zh-CN"/>
        </w:rPr>
        <w:t>Codebook size, which is equivalent to the density of the beams</w:t>
      </w:r>
    </w:p>
    <w:p w14:paraId="004D4C41" w14:textId="27A2B407" w:rsidR="007D55E9" w:rsidRDefault="007D55E9" w:rsidP="007D55E9">
      <w:pPr>
        <w:pStyle w:val="ListParagraph"/>
        <w:numPr>
          <w:ilvl w:val="0"/>
          <w:numId w:val="42"/>
        </w:numPr>
        <w:ind w:firstLineChars="0"/>
        <w:rPr>
          <w:lang w:val="en-US" w:eastAsia="zh-CN"/>
        </w:rPr>
      </w:pPr>
      <w:r>
        <w:rPr>
          <w:lang w:val="en-US" w:eastAsia="zh-CN"/>
        </w:rPr>
        <w:t xml:space="preserve">Deployment scenarios, including collocated and non-collocated </w:t>
      </w:r>
    </w:p>
    <w:p w14:paraId="27E12B4A" w14:textId="7AF98885" w:rsidR="007D55E9" w:rsidRDefault="00CF5A0A" w:rsidP="007D55E9">
      <w:pPr>
        <w:rPr>
          <w:lang w:val="en-US" w:eastAsia="zh-CN"/>
        </w:rPr>
      </w:pPr>
      <w:r>
        <w:rPr>
          <w:lang w:val="en-US" w:eastAsia="zh-CN"/>
        </w:rPr>
        <w:t>Firstly, f</w:t>
      </w:r>
      <w:r w:rsidR="007D55E9">
        <w:rPr>
          <w:lang w:val="en-US" w:eastAsia="zh-CN"/>
        </w:rPr>
        <w:t xml:space="preserve">or FR2 inter-band CA within the same band group, collocated deployment can be reasonably assumed. </w:t>
      </w:r>
      <w:r>
        <w:rPr>
          <w:lang w:val="en-US" w:eastAsia="zh-CN"/>
        </w:rPr>
        <w:t xml:space="preserve">Consequently, with </w:t>
      </w:r>
      <w:r w:rsidR="00A94FBD">
        <w:rPr>
          <w:lang w:val="en-US" w:eastAsia="zh-CN"/>
        </w:rPr>
        <w:t>reasonable</w:t>
      </w:r>
      <w:r>
        <w:rPr>
          <w:lang w:val="en-US" w:eastAsia="zh-CN"/>
        </w:rPr>
        <w:t xml:space="preserve"> assumption of</w:t>
      </w:r>
      <w:r w:rsidR="00A94FBD">
        <w:rPr>
          <w:lang w:val="en-US" w:eastAsia="zh-CN"/>
        </w:rPr>
        <w:t xml:space="preserve"> frequency separation/beam squint and codebook size</w:t>
      </w:r>
      <w:r w:rsidR="000F7277">
        <w:rPr>
          <w:lang w:val="en-US" w:eastAsia="zh-CN"/>
        </w:rPr>
        <w:t xml:space="preserve">, </w:t>
      </w:r>
      <w:r>
        <w:rPr>
          <w:lang w:val="en-US" w:eastAsia="zh-CN"/>
        </w:rPr>
        <w:t>the Rx beam selection</w:t>
      </w:r>
      <w:r w:rsidR="00A94FBD">
        <w:rPr>
          <w:lang w:val="en-US" w:eastAsia="zh-CN"/>
        </w:rPr>
        <w:t xml:space="preserve"> for different bands within the same band group</w:t>
      </w:r>
      <w:r>
        <w:rPr>
          <w:lang w:val="en-US" w:eastAsia="zh-CN"/>
        </w:rPr>
        <w:t xml:space="preserve"> should be evaluated</w:t>
      </w:r>
      <w:r w:rsidR="00A94FBD">
        <w:rPr>
          <w:lang w:val="en-US" w:eastAsia="zh-CN"/>
        </w:rPr>
        <w:t xml:space="preserve">. </w:t>
      </w:r>
    </w:p>
    <w:p w14:paraId="20D72676" w14:textId="5259F98E" w:rsidR="00A94FBD" w:rsidRPr="007D55E9" w:rsidRDefault="00A94FBD" w:rsidP="007D55E9">
      <w:pPr>
        <w:rPr>
          <w:lang w:val="en-US" w:eastAsia="zh-CN"/>
        </w:rPr>
      </w:pPr>
      <w:r w:rsidRPr="00A94FBD">
        <w:rPr>
          <w:b/>
          <w:bCs/>
          <w:lang w:val="en-US" w:eastAsia="zh-CN"/>
        </w:rPr>
        <w:t xml:space="preserve">Proposal </w:t>
      </w:r>
      <w:r>
        <w:rPr>
          <w:b/>
          <w:bCs/>
          <w:lang w:val="en-US" w:eastAsia="zh-CN"/>
        </w:rPr>
        <w:t>2: Based on the assumption of collocated deployment, i</w:t>
      </w:r>
      <w:r w:rsidRPr="00A94FBD">
        <w:rPr>
          <w:b/>
          <w:bCs/>
          <w:lang w:val="en-US" w:eastAsia="zh-CN"/>
        </w:rPr>
        <w:t>t should be evaluate</w:t>
      </w:r>
      <w:r w:rsidR="00CF5A0A">
        <w:rPr>
          <w:b/>
          <w:bCs/>
          <w:lang w:val="en-US" w:eastAsia="zh-CN"/>
        </w:rPr>
        <w:t>d on</w:t>
      </w:r>
      <w:r w:rsidRPr="00A94FBD">
        <w:rPr>
          <w:b/>
          <w:bCs/>
          <w:lang w:val="en-US" w:eastAsia="zh-CN"/>
        </w:rPr>
        <w:t xml:space="preserve"> the </w:t>
      </w:r>
      <w:r w:rsidR="00C1399C">
        <w:rPr>
          <w:b/>
          <w:bCs/>
          <w:lang w:val="en-US" w:eastAsia="zh-CN"/>
        </w:rPr>
        <w:t xml:space="preserve">probability </w:t>
      </w:r>
      <w:r w:rsidR="00CF5A0A">
        <w:rPr>
          <w:b/>
          <w:bCs/>
          <w:lang w:val="en-US" w:eastAsia="zh-CN"/>
        </w:rPr>
        <w:t>that different beams can be selected for</w:t>
      </w:r>
      <w:r w:rsidRPr="00A94FBD">
        <w:rPr>
          <w:b/>
          <w:bCs/>
          <w:lang w:val="en-US" w:eastAsia="zh-CN"/>
        </w:rPr>
        <w:t xml:space="preserve"> different bands within the same band group</w:t>
      </w:r>
      <w:r w:rsidR="00C1399C">
        <w:rPr>
          <w:b/>
          <w:bCs/>
          <w:lang w:val="en-US" w:eastAsia="zh-CN"/>
        </w:rPr>
        <w:t>. This should be done w</w:t>
      </w:r>
      <w:r w:rsidR="00C1399C" w:rsidRPr="00A94FBD">
        <w:rPr>
          <w:b/>
          <w:bCs/>
          <w:lang w:val="en-US" w:eastAsia="zh-CN"/>
        </w:rPr>
        <w:t>ith reasonable</w:t>
      </w:r>
      <w:r w:rsidR="00C1399C">
        <w:rPr>
          <w:b/>
          <w:bCs/>
          <w:lang w:val="en-US" w:eastAsia="zh-CN"/>
        </w:rPr>
        <w:t xml:space="preserve"> assumption of</w:t>
      </w:r>
      <w:r w:rsidR="00C1399C" w:rsidRPr="00A94FBD">
        <w:rPr>
          <w:b/>
          <w:bCs/>
          <w:lang w:val="en-US" w:eastAsia="zh-CN"/>
        </w:rPr>
        <w:t xml:space="preserve"> frequency separation/beam squint and codebook size</w:t>
      </w:r>
      <w:r w:rsidR="00C1399C">
        <w:rPr>
          <w:b/>
          <w:bCs/>
          <w:lang w:val="en-US" w:eastAsia="zh-CN"/>
        </w:rPr>
        <w:t xml:space="preserve"> (e.g. &lt;64).</w:t>
      </w:r>
    </w:p>
    <w:p w14:paraId="29C2CE35" w14:textId="6AEFDC8A" w:rsidR="00E675A1" w:rsidRDefault="000F7277" w:rsidP="00E675A1">
      <w:pPr>
        <w:pStyle w:val="Heading1"/>
        <w:numPr>
          <w:ilvl w:val="0"/>
          <w:numId w:val="10"/>
        </w:numPr>
        <w:pBdr>
          <w:top w:val="single" w:sz="12" w:space="2" w:color="auto"/>
        </w:pBdr>
        <w:rPr>
          <w:sz w:val="32"/>
          <w:lang w:val="en-US"/>
        </w:rPr>
      </w:pPr>
      <w:r>
        <w:rPr>
          <w:sz w:val="32"/>
          <w:lang w:val="en-US"/>
        </w:rPr>
        <w:t xml:space="preserve">IBM and CBM from </w:t>
      </w:r>
      <w:r w:rsidR="00A033FB">
        <w:rPr>
          <w:sz w:val="32"/>
          <w:lang w:val="en-US"/>
        </w:rPr>
        <w:t>UE architecture</w:t>
      </w:r>
      <w:r>
        <w:rPr>
          <w:sz w:val="32"/>
          <w:lang w:val="en-US"/>
        </w:rPr>
        <w:t xml:space="preserve"> perspective</w:t>
      </w:r>
    </w:p>
    <w:p w14:paraId="5FBD2A07" w14:textId="346657ED" w:rsidR="00217854" w:rsidRDefault="00217854" w:rsidP="00217854">
      <w:pPr>
        <w:rPr>
          <w:lang w:val="en-US" w:eastAsia="zh-CN"/>
        </w:rPr>
      </w:pPr>
      <w:r>
        <w:rPr>
          <w:lang w:val="en-US" w:eastAsia="zh-CN"/>
        </w:rPr>
        <w:t>Compared to CBM with single transceiver, multiple transceiver chains are assumed for IBM. Therefore, IBM related cost, form factor and power consumption are expected to be higher than CBM. Meanwhile, parallel beam managements are required for IBM. This also means larger memory size to be reserved, multiple beam management processing engines and potentially longer processing delay.</w:t>
      </w:r>
    </w:p>
    <w:p w14:paraId="4067D4E0" w14:textId="456F8F8F" w:rsidR="005B0AC1" w:rsidRPr="005B0AC1" w:rsidRDefault="00217854" w:rsidP="005B0AC1">
      <w:pPr>
        <w:rPr>
          <w:b/>
          <w:bCs/>
          <w:lang w:val="en-US" w:eastAsia="zh-CN"/>
        </w:rPr>
      </w:pPr>
      <w:r w:rsidRPr="005B0AC1">
        <w:rPr>
          <w:b/>
          <w:bCs/>
          <w:lang w:val="en-US" w:eastAsia="zh-CN"/>
        </w:rPr>
        <w:t>Observation</w:t>
      </w:r>
      <w:r w:rsidR="005B0AC1" w:rsidRPr="005B0AC1">
        <w:rPr>
          <w:b/>
          <w:bCs/>
          <w:lang w:val="en-US" w:eastAsia="zh-CN"/>
        </w:rPr>
        <w:t xml:space="preserve"> 2: Compared to CBM, IBM related cost, form factor and power consumption are expected to be higher. Meanwhile, IBM is normally associated with larger memory size, multiple BM processing engines and potentially longer BM processing delay.</w:t>
      </w:r>
    </w:p>
    <w:p w14:paraId="3A94C4D6" w14:textId="7D614ABA" w:rsidR="004B3162" w:rsidRPr="00D723F5" w:rsidRDefault="005B0AC1" w:rsidP="00217854">
      <w:pPr>
        <w:rPr>
          <w:b/>
          <w:bCs/>
          <w:lang w:val="en-US" w:eastAsia="zh-CN"/>
        </w:rPr>
      </w:pPr>
      <w:r w:rsidRPr="005B0AC1">
        <w:rPr>
          <w:b/>
          <w:bCs/>
          <w:lang w:val="en-US" w:eastAsia="zh-CN"/>
        </w:rPr>
        <w:t xml:space="preserve">Proposal 3: </w:t>
      </w:r>
      <w:r>
        <w:rPr>
          <w:b/>
          <w:bCs/>
          <w:lang w:val="en-US" w:eastAsia="zh-CN"/>
        </w:rPr>
        <w:t xml:space="preserve">The performance gain of IBM over CBM for FR2 inter-band CA within the same band group should </w:t>
      </w:r>
      <w:r w:rsidR="00F64321">
        <w:rPr>
          <w:b/>
          <w:bCs/>
          <w:lang w:val="en-US" w:eastAsia="zh-CN"/>
        </w:rPr>
        <w:t xml:space="preserve">be </w:t>
      </w:r>
      <w:r>
        <w:rPr>
          <w:b/>
          <w:bCs/>
          <w:lang w:val="en-US" w:eastAsia="zh-CN"/>
        </w:rPr>
        <w:t>justified due to the impact on cost, form factor, power consumption, memory size, # of BM engines and processing delay.</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01C58DF8" w:rsidR="00774C2C" w:rsidRDefault="00774C2C" w:rsidP="00774C2C">
      <w:pPr>
        <w:rPr>
          <w:lang w:eastAsia="zh-CN"/>
        </w:rPr>
      </w:pPr>
      <w:r>
        <w:rPr>
          <w:lang w:eastAsia="zh-CN"/>
        </w:rPr>
        <w:t xml:space="preserve">In this contribution, </w:t>
      </w:r>
      <w:r w:rsidR="005B0AC1">
        <w:rPr>
          <w:lang w:eastAsia="zh-CN"/>
        </w:rPr>
        <w:t xml:space="preserve">the feasibility of IBM for FR2 inter-band CA within the same frequency group is discussed. </w:t>
      </w:r>
    </w:p>
    <w:p w14:paraId="12E4184C" w14:textId="7D650090" w:rsidR="005B0AC1" w:rsidRDefault="005B0AC1" w:rsidP="005B0AC1">
      <w:pPr>
        <w:pStyle w:val="ListParagraph"/>
        <w:numPr>
          <w:ilvl w:val="0"/>
          <w:numId w:val="41"/>
        </w:numPr>
        <w:ind w:firstLineChars="0"/>
        <w:rPr>
          <w:lang w:eastAsia="zh-CN"/>
        </w:rPr>
      </w:pPr>
      <w:r>
        <w:rPr>
          <w:lang w:val="en-US" w:eastAsia="zh-CN"/>
        </w:rPr>
        <w:t>On collocation and non-collocation deployment scenarios</w:t>
      </w:r>
    </w:p>
    <w:p w14:paraId="7EDB8032" w14:textId="34271467" w:rsidR="005B0AC1" w:rsidRDefault="005B0AC1" w:rsidP="005B0AC1">
      <w:pPr>
        <w:rPr>
          <w:b/>
          <w:bCs/>
          <w:lang w:eastAsia="zh-CN"/>
        </w:rPr>
      </w:pPr>
      <w:r w:rsidRPr="00C2306B">
        <w:rPr>
          <w:b/>
          <w:bCs/>
          <w:lang w:eastAsia="zh-CN"/>
        </w:rPr>
        <w:t xml:space="preserve">Observation 1: The cell size or coverage </w:t>
      </w:r>
      <w:r>
        <w:rPr>
          <w:b/>
          <w:bCs/>
          <w:lang w:eastAsia="zh-CN"/>
        </w:rPr>
        <w:t>is</w:t>
      </w:r>
      <w:r w:rsidRPr="00C2306B">
        <w:rPr>
          <w:b/>
          <w:bCs/>
          <w:lang w:eastAsia="zh-CN"/>
        </w:rPr>
        <w:t xml:space="preserve"> similar for the band</w:t>
      </w:r>
      <w:r>
        <w:rPr>
          <w:b/>
          <w:bCs/>
          <w:lang w:eastAsia="zh-CN"/>
        </w:rPr>
        <w:t>s</w:t>
      </w:r>
      <w:r w:rsidRPr="00C2306B">
        <w:rPr>
          <w:b/>
          <w:bCs/>
          <w:lang w:eastAsia="zh-CN"/>
        </w:rPr>
        <w:t xml:space="preserve"> within the same frequency group. </w:t>
      </w:r>
    </w:p>
    <w:p w14:paraId="45D20A6E" w14:textId="77777777" w:rsidR="005B0AC1" w:rsidRPr="00C2306B" w:rsidRDefault="005B0AC1" w:rsidP="005B0AC1">
      <w:pPr>
        <w:rPr>
          <w:b/>
          <w:bCs/>
          <w:lang w:eastAsia="zh-CN"/>
        </w:rPr>
      </w:pPr>
      <w:r>
        <w:rPr>
          <w:b/>
          <w:bCs/>
          <w:lang w:eastAsia="zh-CN"/>
        </w:rPr>
        <w:t xml:space="preserve">Proposal 1: </w:t>
      </w:r>
      <w:r w:rsidRPr="00C2306B">
        <w:rPr>
          <w:b/>
          <w:bCs/>
          <w:lang w:eastAsia="zh-CN"/>
        </w:rPr>
        <w:t>Operators’ inputs are needed if collocated deployment can be considered as typical scenario for FR2 inter-band CA within the same frequency group.</w:t>
      </w:r>
    </w:p>
    <w:p w14:paraId="5C86D299" w14:textId="5AFFFCC3" w:rsidR="005B0AC1" w:rsidRPr="005B0AC1" w:rsidRDefault="005B0AC1" w:rsidP="005B0AC1">
      <w:pPr>
        <w:pStyle w:val="ListParagraph"/>
        <w:numPr>
          <w:ilvl w:val="0"/>
          <w:numId w:val="41"/>
        </w:numPr>
        <w:ind w:firstLineChars="0"/>
        <w:rPr>
          <w:lang w:val="en-US" w:eastAsia="zh-CN"/>
        </w:rPr>
      </w:pPr>
      <w:r w:rsidRPr="005B0AC1">
        <w:rPr>
          <w:lang w:val="en-US" w:eastAsia="zh-CN"/>
        </w:rPr>
        <w:t xml:space="preserve">On </w:t>
      </w:r>
      <w:r>
        <w:rPr>
          <w:lang w:val="en-US" w:eastAsia="zh-CN"/>
        </w:rPr>
        <w:t xml:space="preserve">the metric to </w:t>
      </w:r>
      <w:r w:rsidR="00F64321">
        <w:rPr>
          <w:lang w:val="en-US" w:eastAsia="zh-CN"/>
        </w:rPr>
        <w:t xml:space="preserve">evaluate </w:t>
      </w:r>
      <w:r>
        <w:rPr>
          <w:lang w:val="en-US" w:eastAsia="zh-CN"/>
        </w:rPr>
        <w:t xml:space="preserve">the </w:t>
      </w:r>
      <w:r w:rsidR="002D365F">
        <w:rPr>
          <w:lang w:val="en-US" w:eastAsia="zh-CN"/>
        </w:rPr>
        <w:t xml:space="preserve">performance </w:t>
      </w:r>
      <w:r>
        <w:rPr>
          <w:lang w:val="en-US" w:eastAsia="zh-CN"/>
        </w:rPr>
        <w:t>gain of IBM over CBM</w:t>
      </w:r>
    </w:p>
    <w:p w14:paraId="28EB4314" w14:textId="28AC3577" w:rsidR="005B0AC1" w:rsidRDefault="005B0AC1" w:rsidP="005B0AC1">
      <w:pPr>
        <w:rPr>
          <w:b/>
          <w:bCs/>
          <w:lang w:val="en-US" w:eastAsia="zh-CN"/>
        </w:rPr>
      </w:pPr>
      <w:r w:rsidRPr="00A94FBD">
        <w:rPr>
          <w:b/>
          <w:bCs/>
          <w:lang w:val="en-US" w:eastAsia="zh-CN"/>
        </w:rPr>
        <w:lastRenderedPageBreak/>
        <w:t xml:space="preserve">Proposal </w:t>
      </w:r>
      <w:r>
        <w:rPr>
          <w:b/>
          <w:bCs/>
          <w:lang w:val="en-US" w:eastAsia="zh-CN"/>
        </w:rPr>
        <w:t>2: Based on the assumption of collocated deployment, i</w:t>
      </w:r>
      <w:r w:rsidRPr="00A94FBD">
        <w:rPr>
          <w:b/>
          <w:bCs/>
          <w:lang w:val="en-US" w:eastAsia="zh-CN"/>
        </w:rPr>
        <w:t>t should be evaluate</w:t>
      </w:r>
      <w:r>
        <w:rPr>
          <w:b/>
          <w:bCs/>
          <w:lang w:val="en-US" w:eastAsia="zh-CN"/>
        </w:rPr>
        <w:t>d on</w:t>
      </w:r>
      <w:r w:rsidRPr="00A94FBD">
        <w:rPr>
          <w:b/>
          <w:bCs/>
          <w:lang w:val="en-US" w:eastAsia="zh-CN"/>
        </w:rPr>
        <w:t xml:space="preserve"> the </w:t>
      </w:r>
      <w:r>
        <w:rPr>
          <w:b/>
          <w:bCs/>
          <w:lang w:val="en-US" w:eastAsia="zh-CN"/>
        </w:rPr>
        <w:t xml:space="preserve">probability that different beams can be selected </w:t>
      </w:r>
      <w:r w:rsidR="002D365F">
        <w:rPr>
          <w:b/>
          <w:bCs/>
          <w:lang w:val="en-US" w:eastAsia="zh-CN"/>
        </w:rPr>
        <w:t xml:space="preserve">with IBM </w:t>
      </w:r>
      <w:r>
        <w:rPr>
          <w:b/>
          <w:bCs/>
          <w:lang w:val="en-US" w:eastAsia="zh-CN"/>
        </w:rPr>
        <w:t>for</w:t>
      </w:r>
      <w:r w:rsidRPr="00A94FBD">
        <w:rPr>
          <w:b/>
          <w:bCs/>
          <w:lang w:val="en-US" w:eastAsia="zh-CN"/>
        </w:rPr>
        <w:t xml:space="preserve"> different bands within the same band group</w:t>
      </w:r>
      <w:r>
        <w:rPr>
          <w:b/>
          <w:bCs/>
          <w:lang w:val="en-US" w:eastAsia="zh-CN"/>
        </w:rPr>
        <w:t>. This should be done w</w:t>
      </w:r>
      <w:r w:rsidRPr="00A94FBD">
        <w:rPr>
          <w:b/>
          <w:bCs/>
          <w:lang w:val="en-US" w:eastAsia="zh-CN"/>
        </w:rPr>
        <w:t>ith reasonable</w:t>
      </w:r>
      <w:r>
        <w:rPr>
          <w:b/>
          <w:bCs/>
          <w:lang w:val="en-US" w:eastAsia="zh-CN"/>
        </w:rPr>
        <w:t xml:space="preserve"> assumption of</w:t>
      </w:r>
      <w:r w:rsidRPr="00A94FBD">
        <w:rPr>
          <w:b/>
          <w:bCs/>
          <w:lang w:val="en-US" w:eastAsia="zh-CN"/>
        </w:rPr>
        <w:t xml:space="preserve"> frequency separation/beam squint and codebook size</w:t>
      </w:r>
      <w:r>
        <w:rPr>
          <w:b/>
          <w:bCs/>
          <w:lang w:val="en-US" w:eastAsia="zh-CN"/>
        </w:rPr>
        <w:t xml:space="preserve"> (e.g. &lt;64).</w:t>
      </w:r>
    </w:p>
    <w:p w14:paraId="718BE1D5" w14:textId="5150B2EF" w:rsidR="002D365F" w:rsidRPr="002D365F" w:rsidRDefault="002D365F" w:rsidP="002D365F">
      <w:pPr>
        <w:pStyle w:val="ListParagraph"/>
        <w:numPr>
          <w:ilvl w:val="0"/>
          <w:numId w:val="41"/>
        </w:numPr>
        <w:ind w:firstLineChars="0"/>
        <w:rPr>
          <w:lang w:val="en-US" w:eastAsia="zh-CN"/>
        </w:rPr>
      </w:pPr>
      <w:r>
        <w:rPr>
          <w:lang w:val="en-US" w:eastAsia="zh-CN"/>
        </w:rPr>
        <w:t>IBM and CBM from UE architecture perspective</w:t>
      </w:r>
    </w:p>
    <w:p w14:paraId="7CF0199D" w14:textId="0668537F" w:rsidR="002D365F" w:rsidRPr="005B0AC1" w:rsidRDefault="002D365F" w:rsidP="002D365F">
      <w:pPr>
        <w:rPr>
          <w:b/>
          <w:bCs/>
          <w:lang w:val="en-US" w:eastAsia="zh-CN"/>
        </w:rPr>
      </w:pPr>
      <w:r w:rsidRPr="005B0AC1">
        <w:rPr>
          <w:b/>
          <w:bCs/>
          <w:lang w:val="en-US" w:eastAsia="zh-CN"/>
        </w:rPr>
        <w:t xml:space="preserve">Observation 2: Compared to CBM, IBM related cost, form factor and power consumption are expected to be higher. Meanwhile, IBM </w:t>
      </w:r>
      <w:r>
        <w:rPr>
          <w:b/>
          <w:bCs/>
          <w:lang w:val="en-US" w:eastAsia="zh-CN"/>
        </w:rPr>
        <w:t>normally requires</w:t>
      </w:r>
      <w:r w:rsidRPr="005B0AC1">
        <w:rPr>
          <w:b/>
          <w:bCs/>
          <w:lang w:val="en-US" w:eastAsia="zh-CN"/>
        </w:rPr>
        <w:t xml:space="preserve"> larger memory size, multiple BM processing engines and potentially longer BM processing delay.</w:t>
      </w:r>
    </w:p>
    <w:p w14:paraId="22138C35" w14:textId="2990B289" w:rsidR="002D365F" w:rsidRPr="005B0AC1" w:rsidRDefault="002D365F" w:rsidP="002D365F">
      <w:pPr>
        <w:rPr>
          <w:b/>
          <w:bCs/>
          <w:lang w:val="en-US" w:eastAsia="zh-CN"/>
        </w:rPr>
      </w:pPr>
      <w:r w:rsidRPr="005B0AC1">
        <w:rPr>
          <w:b/>
          <w:bCs/>
          <w:lang w:val="en-US" w:eastAsia="zh-CN"/>
        </w:rPr>
        <w:t xml:space="preserve">Proposal 3: </w:t>
      </w:r>
      <w:r>
        <w:rPr>
          <w:b/>
          <w:bCs/>
          <w:lang w:val="en-US" w:eastAsia="zh-CN"/>
        </w:rPr>
        <w:t xml:space="preserve">The performance gain of IBM over CBM for FR2 inter-band CA within the same band group should </w:t>
      </w:r>
      <w:r w:rsidR="00F64321">
        <w:rPr>
          <w:b/>
          <w:bCs/>
          <w:lang w:val="en-US" w:eastAsia="zh-CN"/>
        </w:rPr>
        <w:t xml:space="preserve">be </w:t>
      </w:r>
      <w:r>
        <w:rPr>
          <w:b/>
          <w:bCs/>
          <w:lang w:val="en-US" w:eastAsia="zh-CN"/>
        </w:rPr>
        <w:t>justified, considering the impact on cost, form factor, power consumption, memory size, # of BM engines and processing delay.</w:t>
      </w:r>
    </w:p>
    <w:p w14:paraId="26B50E7D" w14:textId="51EB945A" w:rsidR="004D4ED2" w:rsidRPr="005B0AC1" w:rsidRDefault="004D4ED2" w:rsidP="00DE7B5A">
      <w:pPr>
        <w:pStyle w:val="Reference"/>
        <w:keepLines/>
        <w:spacing w:after="180"/>
        <w:ind w:left="360" w:hanging="360"/>
        <w:jc w:val="both"/>
        <w:rPr>
          <w:bCs/>
          <w:lang w:val="en-US"/>
        </w:rPr>
      </w:pPr>
    </w:p>
    <w:sectPr w:rsidR="004D4ED2" w:rsidRPr="005B0AC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58D35" w14:textId="77777777" w:rsidR="00890873" w:rsidRDefault="00890873">
      <w:pPr>
        <w:spacing w:after="0"/>
      </w:pPr>
      <w:r>
        <w:separator/>
      </w:r>
    </w:p>
  </w:endnote>
  <w:endnote w:type="continuationSeparator" w:id="0">
    <w:p w14:paraId="56EEF34A" w14:textId="77777777" w:rsidR="00890873" w:rsidRDefault="00890873">
      <w:pPr>
        <w:spacing w:after="0"/>
      </w:pPr>
      <w:r>
        <w:continuationSeparator/>
      </w:r>
    </w:p>
  </w:endnote>
  <w:endnote w:type="continuationNotice" w:id="1">
    <w:p w14:paraId="7887257D" w14:textId="77777777" w:rsidR="00890873" w:rsidRDefault="00890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AACD4" w14:textId="77777777" w:rsidR="00890873" w:rsidRDefault="00890873">
      <w:pPr>
        <w:spacing w:after="0"/>
      </w:pPr>
      <w:r>
        <w:separator/>
      </w:r>
    </w:p>
  </w:footnote>
  <w:footnote w:type="continuationSeparator" w:id="0">
    <w:p w14:paraId="60CEA035" w14:textId="77777777" w:rsidR="00890873" w:rsidRDefault="00890873">
      <w:pPr>
        <w:spacing w:after="0"/>
      </w:pPr>
      <w:r>
        <w:continuationSeparator/>
      </w:r>
    </w:p>
  </w:footnote>
  <w:footnote w:type="continuationNotice" w:id="1">
    <w:p w14:paraId="75CB4D02" w14:textId="77777777" w:rsidR="00890873" w:rsidRDefault="00890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F5C2E"/>
    <w:multiLevelType w:val="hybridMultilevel"/>
    <w:tmpl w:val="3CC6D8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644"/>
        </w:tabs>
        <w:ind w:left="644" w:hanging="360"/>
      </w:pPr>
      <w:rPr>
        <w:rFonts w:ascii="Arial" w:hAnsi="Arial" w:hint="default"/>
      </w:rPr>
    </w:lvl>
    <w:lvl w:ilvl="1" w:tplc="8346B1BE">
      <w:start w:val="1"/>
      <w:numFmt w:val="bullet"/>
      <w:lvlText w:val="•"/>
      <w:lvlJc w:val="left"/>
      <w:pPr>
        <w:tabs>
          <w:tab w:val="num" w:pos="1364"/>
        </w:tabs>
        <w:ind w:left="1364" w:hanging="360"/>
      </w:pPr>
      <w:rPr>
        <w:rFonts w:ascii="Arial" w:hAnsi="Arial" w:hint="default"/>
      </w:rPr>
    </w:lvl>
    <w:lvl w:ilvl="2" w:tplc="3D86B840">
      <w:numFmt w:val="bullet"/>
      <w:lvlText w:val="•"/>
      <w:lvlJc w:val="left"/>
      <w:pPr>
        <w:tabs>
          <w:tab w:val="num" w:pos="2084"/>
        </w:tabs>
        <w:ind w:left="2084" w:hanging="360"/>
      </w:pPr>
      <w:rPr>
        <w:rFonts w:ascii="Arial" w:hAnsi="Arial" w:hint="default"/>
      </w:rPr>
    </w:lvl>
    <w:lvl w:ilvl="3" w:tplc="E018920A">
      <w:start w:val="1"/>
      <w:numFmt w:val="bullet"/>
      <w:lvlText w:val="•"/>
      <w:lvlJc w:val="left"/>
      <w:pPr>
        <w:tabs>
          <w:tab w:val="num" w:pos="2804"/>
        </w:tabs>
        <w:ind w:left="2804" w:hanging="360"/>
      </w:pPr>
      <w:rPr>
        <w:rFonts w:ascii="Arial" w:hAnsi="Arial" w:hint="default"/>
      </w:rPr>
    </w:lvl>
    <w:lvl w:ilvl="4" w:tplc="28FEF328" w:tentative="1">
      <w:start w:val="1"/>
      <w:numFmt w:val="bullet"/>
      <w:lvlText w:val="•"/>
      <w:lvlJc w:val="left"/>
      <w:pPr>
        <w:tabs>
          <w:tab w:val="num" w:pos="3524"/>
        </w:tabs>
        <w:ind w:left="3524" w:hanging="360"/>
      </w:pPr>
      <w:rPr>
        <w:rFonts w:ascii="Arial" w:hAnsi="Arial" w:hint="default"/>
      </w:rPr>
    </w:lvl>
    <w:lvl w:ilvl="5" w:tplc="C48CBA3C" w:tentative="1">
      <w:start w:val="1"/>
      <w:numFmt w:val="bullet"/>
      <w:lvlText w:val="•"/>
      <w:lvlJc w:val="left"/>
      <w:pPr>
        <w:tabs>
          <w:tab w:val="num" w:pos="4244"/>
        </w:tabs>
        <w:ind w:left="4244" w:hanging="360"/>
      </w:pPr>
      <w:rPr>
        <w:rFonts w:ascii="Arial" w:hAnsi="Arial" w:hint="default"/>
      </w:rPr>
    </w:lvl>
    <w:lvl w:ilvl="6" w:tplc="244CFA74" w:tentative="1">
      <w:start w:val="1"/>
      <w:numFmt w:val="bullet"/>
      <w:lvlText w:val="•"/>
      <w:lvlJc w:val="left"/>
      <w:pPr>
        <w:tabs>
          <w:tab w:val="num" w:pos="4964"/>
        </w:tabs>
        <w:ind w:left="4964" w:hanging="360"/>
      </w:pPr>
      <w:rPr>
        <w:rFonts w:ascii="Arial" w:hAnsi="Arial" w:hint="default"/>
      </w:rPr>
    </w:lvl>
    <w:lvl w:ilvl="7" w:tplc="BB90F932" w:tentative="1">
      <w:start w:val="1"/>
      <w:numFmt w:val="bullet"/>
      <w:lvlText w:val="•"/>
      <w:lvlJc w:val="left"/>
      <w:pPr>
        <w:tabs>
          <w:tab w:val="num" w:pos="5684"/>
        </w:tabs>
        <w:ind w:left="5684" w:hanging="360"/>
      </w:pPr>
      <w:rPr>
        <w:rFonts w:ascii="Arial" w:hAnsi="Arial" w:hint="default"/>
      </w:rPr>
    </w:lvl>
    <w:lvl w:ilvl="8" w:tplc="9612BE0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88856FA"/>
    <w:multiLevelType w:val="hybridMultilevel"/>
    <w:tmpl w:val="D8721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9"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2"/>
  </w:num>
  <w:num w:numId="15">
    <w:abstractNumId w:val="14"/>
  </w:num>
  <w:num w:numId="16">
    <w:abstractNumId w:val="31"/>
  </w:num>
  <w:num w:numId="17">
    <w:abstractNumId w:val="10"/>
  </w:num>
  <w:num w:numId="18">
    <w:abstractNumId w:val="36"/>
  </w:num>
  <w:num w:numId="19">
    <w:abstractNumId w:val="26"/>
  </w:num>
  <w:num w:numId="20">
    <w:abstractNumId w:val="28"/>
  </w:num>
  <w:num w:numId="21">
    <w:abstractNumId w:val="3"/>
  </w:num>
  <w:num w:numId="22">
    <w:abstractNumId w:val="21"/>
  </w:num>
  <w:num w:numId="23">
    <w:abstractNumId w:val="13"/>
  </w:num>
  <w:num w:numId="24">
    <w:abstractNumId w:val="22"/>
  </w:num>
  <w:num w:numId="25">
    <w:abstractNumId w:val="34"/>
  </w:num>
  <w:num w:numId="26">
    <w:abstractNumId w:val="29"/>
  </w:num>
  <w:num w:numId="27">
    <w:abstractNumId w:val="18"/>
  </w:num>
  <w:num w:numId="28">
    <w:abstractNumId w:val="23"/>
  </w:num>
  <w:num w:numId="29">
    <w:abstractNumId w:val="12"/>
  </w:num>
  <w:num w:numId="30">
    <w:abstractNumId w:val="39"/>
  </w:num>
  <w:num w:numId="31">
    <w:abstractNumId w:val="30"/>
  </w:num>
  <w:num w:numId="32">
    <w:abstractNumId w:val="19"/>
  </w:num>
  <w:num w:numId="33">
    <w:abstractNumId w:val="1"/>
  </w:num>
  <w:num w:numId="34">
    <w:abstractNumId w:val="20"/>
  </w:num>
  <w:num w:numId="35">
    <w:abstractNumId w:val="0"/>
  </w:num>
  <w:num w:numId="36">
    <w:abstractNumId w:val="4"/>
  </w:num>
  <w:num w:numId="37">
    <w:abstractNumId w:val="11"/>
  </w:num>
  <w:num w:numId="38">
    <w:abstractNumId w:val="27"/>
  </w:num>
  <w:num w:numId="39">
    <w:abstractNumId w:val="25"/>
  </w:num>
  <w:num w:numId="40">
    <w:abstractNumId w:val="17"/>
  </w:num>
  <w:num w:numId="41">
    <w:abstractNumId w:val="9"/>
  </w:num>
  <w:num w:numId="4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844"/>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6F8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321"/>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1130</Words>
  <Characters>6441</Characters>
  <Application>Microsoft Office Word</Application>
  <DocSecurity>0</DocSecurity>
  <Lines>53</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2020-10-23T20:20:00Z</dcterms:created>
  <dcterms:modified xsi:type="dcterms:W3CDTF">2020-10-23T20:20:00Z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